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88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88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Emak amplia la gamma energia </w:t>
        <w:br w:type="textWrapping"/>
        <w:t xml:space="preserve">con la nuova stazione di ricarica portatile PSi 1650</w:t>
      </w:r>
    </w:p>
    <w:p w:rsidR="00000000" w:rsidDel="00000000" w:rsidP="00000000" w:rsidRDefault="00000000" w:rsidRPr="00000000" w14:paraId="00000003">
      <w:pPr>
        <w:spacing w:after="0" w:line="288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64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 nuova stazione di ricarica portatile dei brand Efco e Oleo-Mac unisce potenza, rapidità di ricarica e facilità di trasporto, rafforzando la gamma di generatori di Emak per l’energia domestica, professionale e outdoor.</w:t>
      </w:r>
    </w:p>
    <w:p w:rsidR="00000000" w:rsidDel="00000000" w:rsidP="00000000" w:rsidRDefault="00000000" w:rsidRPr="00000000" w14:paraId="00000005">
      <w:pPr>
        <w:spacing w:after="0" w:line="264" w:lineRule="auto"/>
        <w:jc w:val="both"/>
        <w:rPr>
          <w:rFonts w:ascii="Helvetica Neue" w:cs="Helvetica Neue" w:eastAsia="Helvetica Neue" w:hAnsi="Helvetica Neue"/>
          <w:color w:val="262626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64" w:lineRule="auto"/>
        <w:jc w:val="both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1"/>
          <w:szCs w:val="21"/>
          <w:rtl w:val="0"/>
        </w:rPr>
        <w:t xml:space="preserve">Bagnolo in Piano (RE), 09 febbraio 2026 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– Emak amplia la propria offerta dedicata alla produzione e gestione dell’energia con la nuova </w:t>
      </w: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stazione di ricarica portatile PSi 1650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, una soluzione compatta e ad alte prestazioni progettata per alimentare dispositivi elettronici e piccoli elettrodomestici sia in ambito domestico sia all’aria aperta, durante i viaggi, nelle attività outdoor o in campeggio.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64" w:lineRule="auto"/>
        <w:jc w:val="both"/>
        <w:rPr>
          <w:rFonts w:ascii="Arial" w:cs="Arial" w:eastAsia="Arial" w:hAnsi="Arial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Facile da trasportare grazie alle pratiche maniglie e alle dimensioni contenute, la PSi 1650 </w:t>
      </w: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può essere riposta comodamente in auto, camper o in spazi ridotti, offrendo una fonte di energia affidabile in caso di interruzioni di corrente o in assenza di rete elettrica. La stazione è dotata di </w:t>
      </w: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highlight w:val="white"/>
          <w:rtl w:val="0"/>
        </w:rPr>
        <w:t xml:space="preserve">batteria LFP (litio ferro fosfato) da 1024 Wh</w:t>
      </w: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, con </w:t>
      </w: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highlight w:val="white"/>
          <w:rtl w:val="0"/>
        </w:rPr>
        <w:t xml:space="preserve">potenza continua di 1650 W</w:t>
      </w: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 e </w:t>
      </w: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highlight w:val="white"/>
          <w:rtl w:val="0"/>
        </w:rPr>
        <w:t xml:space="preserve">picco massimo di 2700 W</w:t>
      </w: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, e consente di alimentare fino a </w:t>
      </w: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highlight w:val="white"/>
          <w:rtl w:val="0"/>
        </w:rPr>
        <w:t xml:space="preserve">nove dispositivi contemporaneamente</w:t>
      </w: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 tramite porte USB, uscita a 12 V in corrente continua e prese a 220 V in corrente alternata.</w:t>
      </w:r>
    </w:p>
    <w:p w:rsidR="00000000" w:rsidDel="00000000" w:rsidP="00000000" w:rsidRDefault="00000000" w:rsidRPr="00000000" w14:paraId="00000008">
      <w:pPr>
        <w:spacing w:after="0" w:line="264" w:lineRule="auto"/>
        <w:jc w:val="both"/>
        <w:rPr>
          <w:rFonts w:ascii="Arial" w:cs="Arial" w:eastAsia="Arial" w:hAnsi="Arial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64" w:lineRule="auto"/>
        <w:jc w:val="both"/>
        <w:rPr>
          <w:rFonts w:ascii="Arial" w:cs="Arial" w:eastAsia="Arial" w:hAnsi="Arial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La ricarica può avvenire tramite presa domestica o caricatore da auto, entrambi inclusi, ed è compatibile anche con pannelli solari fino a 400 W. Grazie alla </w:t>
      </w: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highlight w:val="white"/>
          <w:rtl w:val="0"/>
        </w:rPr>
        <w:t xml:space="preserve">ricarica rapida ad alta efficienza</w:t>
      </w: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, il dispositivo raggiunge l’80% in circa 45 minuti e la carica completa in un’ora e mezza. La tecnologia della batteria garantisce </w:t>
      </w: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highlight w:val="white"/>
          <w:rtl w:val="0"/>
        </w:rPr>
        <w:t xml:space="preserve">fino a 4.000 cicli di ricarica</w:t>
      </w: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 con oltre l’80% di capacità residua, mentre i sistemi di protezione avanzati assicurano un utilizzo sicuro contro sovraccarichi, sovratensioni, cortocircuiti e surriscaldamenti. Completano la dotazione la </w:t>
      </w: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highlight w:val="white"/>
          <w:rtl w:val="0"/>
        </w:rPr>
        <w:t xml:space="preserve">modalità bypass</w:t>
      </w: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, la funzione automatica di gestione dei picchi di potenza, la </w:t>
      </w: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highlight w:val="white"/>
          <w:rtl w:val="0"/>
        </w:rPr>
        <w:t xml:space="preserve">luce LED frontale</w:t>
      </w: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 per l’illuminazione dell’ambiente e il </w:t>
      </w: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highlight w:val="white"/>
          <w:rtl w:val="0"/>
        </w:rPr>
        <w:t xml:space="preserve">display digitale</w:t>
      </w: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 per il monitoraggio in tempo reale dei parametri di funzionamento.</w:t>
      </w:r>
    </w:p>
    <w:p w:rsidR="00000000" w:rsidDel="00000000" w:rsidP="00000000" w:rsidRDefault="00000000" w:rsidRPr="00000000" w14:paraId="0000000A">
      <w:pPr>
        <w:spacing w:after="0" w:line="264" w:lineRule="auto"/>
        <w:jc w:val="both"/>
        <w:rPr>
          <w:rFonts w:ascii="Arial" w:cs="Arial" w:eastAsia="Arial" w:hAnsi="Arial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88" w:lineRule="auto"/>
        <w:jc w:val="both"/>
        <w:rPr>
          <w:rFonts w:ascii="Arial" w:cs="Arial" w:eastAsia="Arial" w:hAnsi="Arial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Con l’introduzione della PSi 1650, Emak rafforza la </w:t>
      </w: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highlight w:val="white"/>
          <w:rtl w:val="0"/>
        </w:rPr>
        <w:t xml:space="preserve">gamma di generatori di corrente</w:t>
      </w: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, progettata per rispondere a esigenze che spaziano dall’uso domestico alle applicazioni professionali. L’offerta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dei brand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Efco e Oleo-Mac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comprende gruppi elettrogeni aperti fino a 6 kW e modelli inverter silenziati, ideali per dispositivi elettronici sensibili. Per le attività quotidiane, il modello </w:t>
      </w: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highlight w:val="white"/>
          <w:rtl w:val="0"/>
        </w:rPr>
        <w:t xml:space="preserve">PGE 35 DCS</w:t>
      </w: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 supporta utenze fino a 2,8 kW con autonomia fino a 15 ore, mentre i modelli </w:t>
      </w: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highlight w:val="white"/>
          <w:rtl w:val="0"/>
        </w:rPr>
        <w:t xml:space="preserve">PGE 65 DCE, PGE 65E DCS e PGE 80-E DCS</w:t>
      </w: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 sono pensati per utilizzi più intensivi, con potenze superiori ai 5 kW, motori Emak OHV a basso consumo e, nel caso del PGE 80-E DCS, corrente trifase a 400 V per applicazioni artigianali e industriali. Completano la gamma i generatori inverter </w:t>
      </w: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highlight w:val="white"/>
          <w:rtl w:val="0"/>
        </w:rPr>
        <w:t xml:space="preserve">PGE 23i S</w:t>
      </w: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 e </w:t>
      </w: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highlight w:val="white"/>
          <w:rtl w:val="0"/>
        </w:rPr>
        <w:t xml:space="preserve">PGE 48i S</w:t>
      </w: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, progettati per garantire stabilità della corrente ed elevato comfort acustico nell’alimentazione di apparecchiature elettroniche delicate.</w:t>
      </w:r>
    </w:p>
    <w:p w:rsidR="00000000" w:rsidDel="00000000" w:rsidP="00000000" w:rsidRDefault="00000000" w:rsidRPr="00000000" w14:paraId="0000000C">
      <w:pPr>
        <w:spacing w:after="0" w:line="288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88" w:lineRule="auto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****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Emak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4 marchi commerciali (Efco, Oleo-Mac, Bertolini, Nibbi), 4 unità produttive, 8 filiali commerciali estere, 150 distributori, 115 paesi raggiunti, 22 famiglie di prodotto, oltre 250 modelli: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rtl w:val="0"/>
        </w:rPr>
        <w:t xml:space="preserve">Emak 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è uno dei player di riferimento a livello mondiale nello sviluppo, nella produzione e nella distribuzione di macchine, componenti e accessori per il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rtl w:val="0"/>
        </w:rPr>
        <w:t xml:space="preserve">giardinaggio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, l’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rtl w:val="0"/>
        </w:rPr>
        <w:t xml:space="preserve">attività forestale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 e l’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rtl w:val="0"/>
        </w:rPr>
        <w:t xml:space="preserve">agricoltura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. Motoseghe, decespugliatori, tagliaerba, trattorini, motozappe e motocoltivatori sono solo alcune delle macchine che Emak offre.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rtl w:val="0"/>
        </w:rPr>
        <w:t xml:space="preserve">Prodotti innovativi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 che si distinguono per prestazioni, qualità, confort d'utilizzo e design, grazie ai costanti investimenti in ricerca e sviluppo. </w:t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www.emak.it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88" w:lineRule="auto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*****</w:t>
      </w:r>
    </w:p>
    <w:p w:rsidR="00000000" w:rsidDel="00000000" w:rsidP="00000000" w:rsidRDefault="00000000" w:rsidRPr="00000000" w14:paraId="00000012">
      <w:pPr>
        <w:spacing w:line="288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Press info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: 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Francesca Valcavi - office: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sz w:val="18"/>
            <w:szCs w:val="18"/>
            <w:u w:val="single"/>
            <w:rtl w:val="0"/>
          </w:rPr>
          <w:t xml:space="preserve">+39 0522.325270</w:t>
        </w:r>
      </w:hyperlink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– cell.  3488800113 - </w:t>
      </w:r>
      <w:hyperlink r:id="rId8">
        <w:r w:rsidDel="00000000" w:rsidR="00000000" w:rsidRPr="00000000">
          <w:rPr>
            <w:rFonts w:ascii="Arial" w:cs="Arial" w:eastAsia="Arial" w:hAnsi="Arial"/>
            <w:color w:val="0000ff"/>
            <w:sz w:val="18"/>
            <w:szCs w:val="18"/>
            <w:u w:val="single"/>
            <w:rtl w:val="0"/>
          </w:rPr>
          <w:t xml:space="preserve">valcavi@industree.it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709" w:top="1417" w:left="1134" w:right="1134" w:header="142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drawing>
        <wp:inline distB="0" distT="0" distL="0" distR="0">
          <wp:extent cx="1718752" cy="598667"/>
          <wp:effectExtent b="0" l="0" r="0" t="0"/>
          <wp:docPr descr="Logo-EMak_Ita" id="4" name="image1.jpg"/>
          <a:graphic>
            <a:graphicData uri="http://schemas.openxmlformats.org/drawingml/2006/picture">
              <pic:pic>
                <pic:nvPicPr>
                  <pic:cNvPr descr="Logo-EMak_Ita" id="0" name="image1.jpg"/>
                  <pic:cNvPicPr preferRelativeResize="0"/>
                </pic:nvPicPr>
                <pic:blipFill>
                  <a:blip r:embed="rId1"/>
                  <a:srcRect b="0" l="0" r="58411" t="0"/>
                  <a:stretch>
                    <a:fillRect/>
                  </a:stretch>
                </pic:blipFill>
                <pic:spPr>
                  <a:xfrm>
                    <a:off x="0" y="0"/>
                    <a:ext cx="1718752" cy="59866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Enfasigrassetto">
    <w:name w:val="Strong"/>
    <w:basedOn w:val="Carpredefinitoparagrafo"/>
    <w:uiPriority w:val="22"/>
    <w:qFormat w:val="1"/>
    <w:rsid w:val="00935C2C"/>
    <w:rPr>
      <w:b w:val="1"/>
      <w:bCs w:val="1"/>
    </w:rPr>
  </w:style>
  <w:style w:type="paragraph" w:styleId="Intestazione">
    <w:name w:val="header"/>
    <w:basedOn w:val="Normale"/>
    <w:link w:val="IntestazioneCarattere"/>
    <w:uiPriority w:val="99"/>
    <w:unhideWhenUsed w:val="1"/>
    <w:rsid w:val="001356B4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1356B4"/>
  </w:style>
  <w:style w:type="paragraph" w:styleId="Pidipagina">
    <w:name w:val="footer"/>
    <w:basedOn w:val="Normale"/>
    <w:link w:val="PidipaginaCarattere"/>
    <w:uiPriority w:val="99"/>
    <w:unhideWhenUsed w:val="1"/>
    <w:rsid w:val="001356B4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1356B4"/>
  </w:style>
  <w:style w:type="character" w:styleId="Collegamentoipertestuale">
    <w:name w:val="Hyperlink"/>
    <w:unhideWhenUsed w:val="1"/>
    <w:rsid w:val="001356B4"/>
    <w:rPr>
      <w:color w:val="0000ff"/>
      <w:u w:val="single"/>
    </w:rPr>
  </w:style>
  <w:style w:type="paragraph" w:styleId="NormaleWeb">
    <w:name w:val="Normal (Web)"/>
    <w:basedOn w:val="Normale"/>
    <w:uiPriority w:val="99"/>
    <w:unhideWhenUsed w:val="1"/>
    <w:rsid w:val="00A01C9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352AB1"/>
    <w:rPr>
      <w:color w:val="605e5c"/>
      <w:shd w:color="auto" w:fill="e1dfdd" w:val="clear"/>
    </w:rPr>
  </w:style>
  <w:style w:type="character" w:styleId="Enfasicorsivo">
    <w:name w:val="Emphasis"/>
    <w:basedOn w:val="Carpredefinitoparagrafo"/>
    <w:uiPriority w:val="20"/>
    <w:qFormat w:val="1"/>
    <w:rsid w:val="00891090"/>
    <w:rPr>
      <w:i w:val="1"/>
      <w:iCs w:val="1"/>
    </w:rPr>
  </w:style>
  <w:style w:type="character" w:styleId="Titolo3Carattere" w:customStyle="1">
    <w:name w:val="Titolo 3 Carattere"/>
    <w:basedOn w:val="Carpredefinitoparagrafo"/>
    <w:link w:val="Titolo3"/>
    <w:uiPriority w:val="9"/>
    <w:rsid w:val="00891090"/>
    <w:rPr>
      <w:rFonts w:ascii="Times New Roman" w:cs="Times New Roman" w:eastAsia="Times New Roman" w:hAnsi="Times New Roman"/>
      <w:b w:val="1"/>
      <w:bCs w:val="1"/>
      <w:sz w:val="27"/>
      <w:szCs w:val="27"/>
      <w:lang w:eastAsia="it-IT"/>
    </w:rPr>
  </w:style>
  <w:style w:type="character" w:styleId="Titolo1Carattere" w:customStyle="1">
    <w:name w:val="Titolo 1 Carattere"/>
    <w:basedOn w:val="Carpredefinitoparagrafo"/>
    <w:link w:val="Titolo1"/>
    <w:uiPriority w:val="9"/>
    <w:rsid w:val="003002BE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3002BE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3A685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 w:val="1"/>
    <w:rsid w:val="003A6851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3A685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3A6851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3A6851"/>
    <w:rPr>
      <w:b w:val="1"/>
      <w:bCs w:val="1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A205A8"/>
    <w:rPr>
      <w:color w:val="954f72" w:themeColor="followedHyperlink"/>
      <w:u w:val="single"/>
    </w:rPr>
  </w:style>
  <w:style w:type="paragraph" w:styleId="Default" w:customStyle="1">
    <w:name w:val="Default"/>
    <w:rsid w:val="00EE7075"/>
    <w:pPr>
      <w:autoSpaceDE w:val="0"/>
      <w:autoSpaceDN w:val="0"/>
      <w:adjustRightInd w:val="0"/>
      <w:spacing w:after="0" w:line="240" w:lineRule="auto"/>
    </w:pPr>
    <w:rPr>
      <w:rFonts w:ascii="Open Sans" w:cs="Open Sans" w:hAnsi="Open Sans"/>
      <w:color w:val="000000"/>
      <w:sz w:val="24"/>
      <w:szCs w:val="24"/>
    </w:rPr>
  </w:style>
  <w:style w:type="paragraph" w:styleId="Pa0" w:customStyle="1">
    <w:name w:val="Pa0"/>
    <w:basedOn w:val="Default"/>
    <w:next w:val="Default"/>
    <w:uiPriority w:val="99"/>
    <w:rsid w:val="00EE7075"/>
    <w:pPr>
      <w:spacing w:line="241" w:lineRule="atLeast"/>
    </w:pPr>
    <w:rPr>
      <w:rFonts w:cs="Times New Roman"/>
      <w:color w:val="auto"/>
    </w:rPr>
  </w:style>
  <w:style w:type="character" w:styleId="A0" w:customStyle="1">
    <w:name w:val="A0"/>
    <w:uiPriority w:val="99"/>
    <w:rsid w:val="00EE7075"/>
    <w:rPr>
      <w:rFonts w:cs="Open Sans"/>
      <w:b w:val="1"/>
      <w:bCs w:val="1"/>
      <w:color w:val="ffffff"/>
      <w:sz w:val="35"/>
      <w:szCs w:val="35"/>
    </w:rPr>
  </w:style>
  <w:style w:type="paragraph" w:styleId="Pa1" w:customStyle="1">
    <w:name w:val="Pa1"/>
    <w:basedOn w:val="Default"/>
    <w:next w:val="Default"/>
    <w:uiPriority w:val="99"/>
    <w:rsid w:val="00EE7075"/>
    <w:pPr>
      <w:spacing w:line="241" w:lineRule="atLeast"/>
    </w:pPr>
    <w:rPr>
      <w:rFonts w:cs="Times New Roman"/>
      <w:color w:val="auto"/>
    </w:rPr>
  </w:style>
  <w:style w:type="character" w:styleId="A1" w:customStyle="1">
    <w:name w:val="A1"/>
    <w:uiPriority w:val="99"/>
    <w:rsid w:val="00EE7075"/>
    <w:rPr>
      <w:rFonts w:cs="Open Sans"/>
      <w:b w:val="1"/>
      <w:bCs w:val="1"/>
      <w:color w:val="000000"/>
      <w:sz w:val="21"/>
      <w:szCs w:val="21"/>
    </w:rPr>
  </w:style>
  <w:style w:type="character" w:styleId="A2" w:customStyle="1">
    <w:name w:val="A2"/>
    <w:uiPriority w:val="99"/>
    <w:rsid w:val="00EE7075"/>
    <w:rPr>
      <w:rFonts w:cs="Open Sans"/>
      <w:b w:val="1"/>
      <w:bCs w:val="1"/>
      <w:color w:val="da1a14"/>
      <w:sz w:val="25"/>
      <w:szCs w:val="25"/>
    </w:rPr>
  </w:style>
  <w:style w:type="character" w:styleId="A3" w:customStyle="1">
    <w:name w:val="A3"/>
    <w:uiPriority w:val="99"/>
    <w:rsid w:val="00EE7075"/>
    <w:rPr>
      <w:rFonts w:ascii="Open Sans Semibold" w:cs="Open Sans Semibold" w:hAnsi="Open Sans Semibold"/>
      <w:b w:val="1"/>
      <w:bCs w:val="1"/>
      <w:color w:val="000000"/>
      <w:sz w:val="14"/>
      <w:szCs w:val="14"/>
    </w:rPr>
  </w:style>
  <w:style w:type="character" w:styleId="A6" w:customStyle="1">
    <w:name w:val="A6"/>
    <w:uiPriority w:val="99"/>
    <w:rsid w:val="00EE7075"/>
    <w:rPr>
      <w:rFonts w:cs="Open Sans"/>
      <w:color w:val="da1a14"/>
      <w:sz w:val="27"/>
      <w:szCs w:val="27"/>
    </w:rPr>
  </w:style>
  <w:style w:type="character" w:styleId="A4" w:customStyle="1">
    <w:name w:val="A4"/>
    <w:uiPriority w:val="99"/>
    <w:rsid w:val="00EE7075"/>
    <w:rPr>
      <w:rFonts w:cs="Open Sans"/>
      <w:b w:val="1"/>
      <w:bCs w:val="1"/>
      <w:color w:val="000000"/>
      <w:sz w:val="46"/>
      <w:szCs w:val="46"/>
    </w:rPr>
  </w:style>
  <w:style w:type="character" w:styleId="A8" w:customStyle="1">
    <w:name w:val="A8"/>
    <w:uiPriority w:val="99"/>
    <w:rsid w:val="00EC31C8"/>
    <w:rPr>
      <w:rFonts w:cs="Open Sans"/>
      <w:b w:val="1"/>
      <w:bCs w:val="1"/>
      <w:color w:val="000000"/>
      <w:sz w:val="54"/>
      <w:szCs w:val="54"/>
    </w:rPr>
  </w:style>
  <w:style w:type="character" w:styleId="A10" w:customStyle="1">
    <w:name w:val="A10"/>
    <w:uiPriority w:val="99"/>
    <w:rsid w:val="00EC31C8"/>
    <w:rPr>
      <w:rFonts w:cs="Open Sans"/>
      <w:b w:val="1"/>
      <w:bCs w:val="1"/>
      <w:color w:val="000000"/>
      <w:sz w:val="36"/>
      <w:szCs w:val="36"/>
    </w:rPr>
  </w:style>
  <w:style w:type="character" w:styleId="A12" w:customStyle="1">
    <w:name w:val="A12"/>
    <w:uiPriority w:val="99"/>
    <w:rsid w:val="00EC31C8"/>
    <w:rPr>
      <w:rFonts w:cs="Open Sans"/>
      <w:color w:val="000000"/>
      <w:sz w:val="20"/>
      <w:szCs w:val="20"/>
    </w:rPr>
  </w:style>
  <w:style w:type="character" w:styleId="A9" w:customStyle="1">
    <w:name w:val="A9"/>
    <w:uiPriority w:val="99"/>
    <w:rsid w:val="00EC31C8"/>
    <w:rPr>
      <w:rFonts w:cs="Open Sans"/>
      <w:color w:val="000000"/>
      <w:sz w:val="16"/>
      <w:szCs w:val="16"/>
    </w:rPr>
  </w:style>
  <w:style w:type="paragraph" w:styleId="pdmfc-content" w:customStyle="1">
    <w:name w:val="pdm_fc-content"/>
    <w:basedOn w:val="Normale"/>
    <w:rsid w:val="00E8230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Revisione">
    <w:name w:val="Revision"/>
    <w:hidden w:val="1"/>
    <w:uiPriority w:val="99"/>
    <w:semiHidden w:val="1"/>
    <w:rsid w:val="004A356F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tel:%2B39%200522.325270" TargetMode="External"/><Relationship Id="rId8" Type="http://schemas.openxmlformats.org/officeDocument/2006/relationships/hyperlink" Target="mailto:valcavi@industree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gV+8aHnRt/U1t+kQB1T1/Fb3DQ==">CgMxLjA4AHIhMVl6cHJwcTMtd2JEcVpCMFlRbXpqcFN2TlVBZm5JM2Qy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2023-10-04T10:11:00Z</dcterms:created>
  <dc:creator>Francesca Valcavi</dc:creator>
</cp:coreProperties>
</file>