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BDF" w14:textId="77777777" w:rsidR="00E445E5" w:rsidRDefault="002175C0" w:rsidP="00E445E5">
      <w:pPr>
        <w:ind w:left="1560"/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</w:t>
      </w:r>
      <w:r w:rsidR="00E445E5">
        <w:rPr>
          <w:i/>
          <w:sz w:val="25"/>
          <w:szCs w:val="25"/>
        </w:rPr>
        <w:t>Comunicato stampa</w:t>
      </w:r>
    </w:p>
    <w:p w14:paraId="0C05B010" w14:textId="77777777" w:rsidR="00E445E5" w:rsidRDefault="00E445E5" w:rsidP="00E445E5">
      <w:pPr>
        <w:ind w:left="1560"/>
        <w:jc w:val="both"/>
        <w:rPr>
          <w:i/>
          <w:sz w:val="25"/>
          <w:szCs w:val="25"/>
        </w:rPr>
      </w:pPr>
    </w:p>
    <w:p w14:paraId="36ADA97F" w14:textId="523DA7DC" w:rsidR="001E28EC" w:rsidRDefault="001E28EC" w:rsidP="001E28EC">
      <w:pPr>
        <w:jc w:val="both"/>
        <w:rPr>
          <w:b/>
          <w:bCs/>
          <w:sz w:val="28"/>
          <w:szCs w:val="28"/>
        </w:rPr>
      </w:pPr>
      <w:r>
        <w:rPr>
          <w:i/>
          <w:sz w:val="25"/>
          <w:szCs w:val="25"/>
        </w:rPr>
        <w:t xml:space="preserve">                          </w:t>
      </w:r>
      <w:r w:rsidR="00E445E5">
        <w:rPr>
          <w:i/>
          <w:sz w:val="25"/>
          <w:szCs w:val="25"/>
        </w:rPr>
        <w:t xml:space="preserve"> </w:t>
      </w:r>
      <w:r w:rsidRPr="003E7FEE">
        <w:rPr>
          <w:b/>
          <w:bCs/>
          <w:sz w:val="28"/>
          <w:szCs w:val="28"/>
        </w:rPr>
        <w:t>Macchine agricole: domanda alta, produzione a rischio</w:t>
      </w:r>
    </w:p>
    <w:p w14:paraId="225D94BD" w14:textId="77777777" w:rsidR="00AF34ED" w:rsidRPr="003E7FEE" w:rsidRDefault="00AF34ED" w:rsidP="001E28EC">
      <w:pPr>
        <w:jc w:val="both"/>
        <w:rPr>
          <w:b/>
          <w:bCs/>
          <w:sz w:val="28"/>
          <w:szCs w:val="28"/>
        </w:rPr>
      </w:pPr>
    </w:p>
    <w:p w14:paraId="3F4C2CFA" w14:textId="385C94B8" w:rsidR="001E28EC" w:rsidRDefault="001E28EC" w:rsidP="001E28EC">
      <w:pPr>
        <w:ind w:left="1701"/>
        <w:jc w:val="both"/>
        <w:rPr>
          <w:b/>
          <w:bCs/>
          <w:i/>
          <w:iCs/>
        </w:rPr>
      </w:pPr>
      <w:r w:rsidRPr="003E7FEE">
        <w:rPr>
          <w:b/>
          <w:bCs/>
          <w:i/>
          <w:iCs/>
        </w:rPr>
        <w:t>Nel corso del 2022 il mercato italiano delle macchine agricole dovrebbe mantenere buoni livelli, anche per la presenza di incentivi e finanziamenti. Sul fronte industriale, però, il costo delle materie prime e dell’energia rischia di frenare la produzione e di aumentare in modo consistente anche i prezzi dei macchinari.</w:t>
      </w:r>
    </w:p>
    <w:p w14:paraId="52C21A21" w14:textId="77777777" w:rsidR="00AF34ED" w:rsidRPr="003E7FEE" w:rsidRDefault="00AF34ED" w:rsidP="001E28EC">
      <w:pPr>
        <w:ind w:left="1701"/>
        <w:jc w:val="both"/>
        <w:rPr>
          <w:b/>
          <w:bCs/>
          <w:i/>
          <w:iCs/>
        </w:rPr>
      </w:pPr>
    </w:p>
    <w:p w14:paraId="6866435E" w14:textId="75A1F260" w:rsidR="001E28EC" w:rsidRPr="003E7FEE" w:rsidRDefault="001E28EC" w:rsidP="001E28EC">
      <w:pPr>
        <w:ind w:left="1701"/>
        <w:jc w:val="both"/>
      </w:pPr>
      <w:r w:rsidRPr="003E7FEE">
        <w:t xml:space="preserve">La domanda di macchinario agricolo in Italia dovrebbe mantenersi elevata nel corso del 2022, ma il costo delle materie industriali minaccia la capacità produttiva delle case costruttrici. Lo scenario è stato decritto questo pomeriggio a Verona, nella conferenza stampa di </w:t>
      </w:r>
      <w:proofErr w:type="spellStart"/>
      <w:r w:rsidRPr="003E7FEE">
        <w:t>FederUnacoma</w:t>
      </w:r>
      <w:proofErr w:type="spellEnd"/>
      <w:r w:rsidRPr="003E7FEE">
        <w:t xml:space="preserve">, l’associazione dei costruttori aderente a Confindustria. Il mercato delle macchine e delle attrezzature per l’agricoltura può avvalersi di incentivi pubblici molteplici e cumulabili fra loro </w:t>
      </w:r>
      <w:r w:rsidR="00AF34ED">
        <w:t>-</w:t>
      </w:r>
      <w:r w:rsidRPr="003E7FEE">
        <w:t xml:space="preserve"> ha detto in conferenza il presidente di </w:t>
      </w:r>
      <w:proofErr w:type="spellStart"/>
      <w:r w:rsidRPr="003E7FEE">
        <w:t>FederUnacoma</w:t>
      </w:r>
      <w:proofErr w:type="spellEnd"/>
      <w:r w:rsidRPr="003E7FEE">
        <w:t xml:space="preserve"> Alessandro Malavolti - e questo dovrebbe incoraggiare gli investimenti da parte delle imprese primarie. Nello stesso anno saranno infatti a</w:t>
      </w:r>
      <w:r w:rsidR="003616E4">
        <w:t xml:space="preserve">ccessibili </w:t>
      </w:r>
      <w:r w:rsidRPr="003E7FEE">
        <w:t xml:space="preserve">il </w:t>
      </w:r>
      <w:r w:rsidR="003616E4">
        <w:t>C</w:t>
      </w:r>
      <w:r w:rsidRPr="003E7FEE">
        <w:t xml:space="preserve">redito d’imposta per il 4.0, i finanziamenti per </w:t>
      </w:r>
      <w:r w:rsidR="003616E4">
        <w:t xml:space="preserve">i </w:t>
      </w:r>
      <w:r w:rsidRPr="003E7FEE">
        <w:t xml:space="preserve">PSR, </w:t>
      </w:r>
      <w:r w:rsidR="003616E4">
        <w:t xml:space="preserve">la </w:t>
      </w:r>
      <w:r w:rsidRPr="003E7FEE">
        <w:t xml:space="preserve">Legge Sabatini, </w:t>
      </w:r>
      <w:r w:rsidR="003616E4">
        <w:t xml:space="preserve">il </w:t>
      </w:r>
      <w:r w:rsidRPr="003E7FEE">
        <w:t xml:space="preserve">Bando ISI-Inail e </w:t>
      </w:r>
      <w:r w:rsidR="003616E4">
        <w:t xml:space="preserve">il </w:t>
      </w:r>
      <w:r w:rsidRPr="003E7FEE">
        <w:t xml:space="preserve">PNRR. Il 4.0 sarà finanziato per il 2022 secondo gli stessi parametri dell’anno scorso </w:t>
      </w:r>
      <w:r w:rsidR="00AF34ED">
        <w:t>-</w:t>
      </w:r>
      <w:r w:rsidRPr="003E7FEE">
        <w:t xml:space="preserve"> ha spiegato Malavolti - con </w:t>
      </w:r>
      <w:r w:rsidR="005A7C1A">
        <w:t>cred</w:t>
      </w:r>
      <w:r w:rsidR="00C61F29">
        <w:t>it</w:t>
      </w:r>
      <w:r w:rsidR="005A7C1A">
        <w:t xml:space="preserve">o d’imposta </w:t>
      </w:r>
      <w:r w:rsidRPr="003E7FEE">
        <w:t xml:space="preserve">al 40% del costo per investimenti fino a 2,5 milioni di euro, e </w:t>
      </w:r>
      <w:r w:rsidR="005A7C1A">
        <w:t>credito a</w:t>
      </w:r>
      <w:r w:rsidRPr="003E7FEE">
        <w:t>l 20% e al 10% rispettivamente per le fasce d’investimento fino a 10 e fino a 20 milioni</w:t>
      </w:r>
      <w:r w:rsidR="005A7C1A">
        <w:t xml:space="preserve"> di euro</w:t>
      </w:r>
      <w:r w:rsidRPr="003E7FEE">
        <w:t>. Per quanto riguarda i PSR (Piani di Sviluppo Rurale), il 2022 beneficia di risorse aggiuntive, in attesa che inizi nel 2023 il nuovo settennato, che vedrà il passaggio d</w:t>
      </w:r>
      <w:r w:rsidR="00C61F29">
        <w:t>a</w:t>
      </w:r>
      <w:r w:rsidRPr="003E7FEE">
        <w:t>ll’attuale gestione regionale ad una gestione centralizzata a livello nazionale con una maggiore efficienza nell’amministrazione delle risorse. La Legge Sabatini per il finanziamento bancario dei beni strumentali, il Bando ISI-I</w:t>
      </w:r>
      <w:r w:rsidR="00AF34ED">
        <w:t>nail</w:t>
      </w:r>
      <w:r w:rsidRPr="003E7FEE">
        <w:t xml:space="preserve"> per l’acquisto di mezzi con elevati standard di sicurezza e il Piano </w:t>
      </w:r>
      <w:r w:rsidR="00DE7FB8">
        <w:t>N</w:t>
      </w:r>
      <w:r w:rsidRPr="003E7FEE">
        <w:t xml:space="preserve">azionale Ripresa e Resilienza, che dovrebbe entrare a regime, completano la rosa di opportunità per il settore </w:t>
      </w:r>
      <w:proofErr w:type="spellStart"/>
      <w:r w:rsidRPr="003E7FEE">
        <w:t>agromeccanico</w:t>
      </w:r>
      <w:proofErr w:type="spellEnd"/>
      <w:r w:rsidRPr="003E7FEE">
        <w:t xml:space="preserve">. Se il settore agricolo sembra ben supportato per l’acquisto dei mezzi </w:t>
      </w:r>
      <w:r w:rsidR="00AF34ED">
        <w:t>-</w:t>
      </w:r>
      <w:r w:rsidRPr="003E7FEE">
        <w:t xml:space="preserve"> questo è stato evidenziato nel corso della conferenza - è la parte industriale a mostrare forti criticità, che mettono a rischio la capacità di soddisfare la domanda. I costi di produzione industriale stanno infatti crescendo in modo impressionante, sia per la voce relativa ai materiali sia per quella relativa all’energia. I prezzi delle commodity industriali hanno raggiunto a maggio scorso il loro massimo incremento da 25 anni a questa parte (+1</w:t>
      </w:r>
      <w:r w:rsidR="00EA16C0">
        <w:t>14</w:t>
      </w:r>
      <w:r w:rsidRPr="003E7FEE">
        <w:t xml:space="preserve">%), per poi registrare un leggero decremento che vede le quotazioni mantenersi comunque molto alte. Guardando ad alcune materie prime, nel periodo aprile 2020-dicembre 2021 si registrano aumenti dell’89% per il rame, dell’85% per l’alluminio, del 38% per il ferro. Per quanto riguarda le forniture energetiche, l’indice dei prezzi risultava in forte crescita già prima della crisi in Ucraina: a dicembre 2021 +90% rispetto al mese di gennaio, e +1.050% rispetto all’aprile 2020. Guardando alle singole voci, il gas naturale è cresciuto da aprile 2020 a dicembre 2021 del 1.692% (e minaccia di crescere in modo </w:t>
      </w:r>
      <w:r w:rsidR="00DE7FB8">
        <w:t xml:space="preserve">ancora più consistente </w:t>
      </w:r>
      <w:r w:rsidRPr="003E7FEE">
        <w:t xml:space="preserve">in conseguenza della crisi con la Russia), mentre il </w:t>
      </w:r>
      <w:r w:rsidR="00DE7FB8">
        <w:t>b</w:t>
      </w:r>
      <w:r w:rsidRPr="003E7FEE">
        <w:t xml:space="preserve">rent incrementa del 218%, e il carbone del 152%. Mai come in questo momento </w:t>
      </w:r>
      <w:r w:rsidR="00AF34ED">
        <w:t xml:space="preserve">- </w:t>
      </w:r>
      <w:r w:rsidRPr="003E7FEE">
        <w:t xml:space="preserve">ha osservato Malavolti - risulta evidente come l’economia anche in epoca di globalizzazione dei mercati e delle forniture, dipenda dalla localizzazione geografica delle risorse e dalla configurazione delle rotte commerciali. Nell’attuale panorama si deve constatare come la produzione di materie prime sia gestita da pochi </w:t>
      </w:r>
      <w:r w:rsidR="00DE7FB8">
        <w:t>Paesi fornitori</w:t>
      </w:r>
      <w:r w:rsidRPr="003E7FEE">
        <w:t>: l’Unione Europea deve importare il 98% di terre rare dalla Cina, l’87% d</w:t>
      </w:r>
      <w:r w:rsidR="00DE7FB8">
        <w:t>i</w:t>
      </w:r>
      <w:r w:rsidRPr="003E7FEE">
        <w:t xml:space="preserve"> litio </w:t>
      </w:r>
      <w:r w:rsidRPr="003E7FEE">
        <w:lastRenderedPageBreak/>
        <w:t>dall’Australia, il 71% d</w:t>
      </w:r>
      <w:r w:rsidR="00DE7FB8">
        <w:t xml:space="preserve">i </w:t>
      </w:r>
      <w:r w:rsidRPr="003E7FEE">
        <w:t>platino dal Sud America. Complessivamente la Cina è oggi il primo fornitore di materie prime critiche dell’intera Unione Europea, mentre proprio in questi giorni è emerso in tutta la s</w:t>
      </w:r>
      <w:r w:rsidR="00AF34ED">
        <w:t>u</w:t>
      </w:r>
      <w:r w:rsidRPr="003E7FEE">
        <w:t xml:space="preserve">a gravità il problema delle forniture di gas, in larga misura dipendenti dalla Russia. </w:t>
      </w:r>
      <w:proofErr w:type="gramStart"/>
      <w:r w:rsidRPr="003E7FEE">
        <w:t>E’</w:t>
      </w:r>
      <w:proofErr w:type="gramEnd"/>
      <w:r w:rsidRPr="003E7FEE">
        <w:t xml:space="preserve"> una situazione che pesa su tutti i settori industriali – ha concluso Malavolti – ma che minaccia in particolare l’industria meccanica, che utilizza in modo preminente materiali ferrosi e polimeri.</w:t>
      </w:r>
    </w:p>
    <w:p w14:paraId="6AA6B48A" w14:textId="3633511B" w:rsidR="00B847F6" w:rsidRPr="00622326" w:rsidRDefault="00B847F6" w:rsidP="001E28EC">
      <w:pPr>
        <w:ind w:left="1560"/>
        <w:jc w:val="both"/>
        <w:rPr>
          <w:b/>
          <w:sz w:val="25"/>
          <w:szCs w:val="25"/>
        </w:rPr>
      </w:pPr>
    </w:p>
    <w:p w14:paraId="0D0ED72D" w14:textId="2FD288EC" w:rsidR="00A777B8" w:rsidRDefault="0073178F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</w:t>
      </w:r>
      <w:r w:rsidR="00E445E5">
        <w:rPr>
          <w:b/>
          <w:sz w:val="25"/>
          <w:szCs w:val="25"/>
        </w:rPr>
        <w:t>Verona</w:t>
      </w:r>
      <w:r w:rsidR="00776788" w:rsidRPr="00622326">
        <w:rPr>
          <w:b/>
          <w:sz w:val="25"/>
          <w:szCs w:val="25"/>
        </w:rPr>
        <w:t xml:space="preserve">, </w:t>
      </w:r>
      <w:r w:rsidR="00E445E5">
        <w:rPr>
          <w:b/>
          <w:sz w:val="25"/>
          <w:szCs w:val="25"/>
        </w:rPr>
        <w:t>2</w:t>
      </w:r>
      <w:r w:rsidR="00776788" w:rsidRPr="00622326">
        <w:rPr>
          <w:b/>
          <w:sz w:val="25"/>
          <w:szCs w:val="25"/>
        </w:rPr>
        <w:t xml:space="preserve"> </w:t>
      </w:r>
      <w:r w:rsidR="00E445E5">
        <w:rPr>
          <w:b/>
          <w:sz w:val="25"/>
          <w:szCs w:val="25"/>
        </w:rPr>
        <w:t>marzo</w:t>
      </w:r>
      <w:r w:rsidR="00776788" w:rsidRPr="00622326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2</w:t>
      </w:r>
    </w:p>
    <w:p w14:paraId="3E3B0D33" w14:textId="7A7643A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60E4D9D" w14:textId="76D0B05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ab/>
        <w:t xml:space="preserve">    </w:t>
      </w:r>
      <w:hyperlink r:id="rId7" w:history="1"/>
      <w:r w:rsidR="00E445E5">
        <w:rPr>
          <w:rStyle w:val="Collegamentoipertestuale"/>
          <w:b/>
          <w:sz w:val="25"/>
          <w:szCs w:val="25"/>
        </w:rPr>
        <w:t xml:space="preserve"> </w:t>
      </w:r>
    </w:p>
    <w:p w14:paraId="68310AD9" w14:textId="3C7A1773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32E270D8" w14:textId="340FCEAF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EB4A79E" w14:textId="253F58C2" w:rsidR="0025180B" w:rsidRPr="00622326" w:rsidRDefault="0025180B" w:rsidP="00E445E5">
      <w:pPr>
        <w:spacing w:after="160" w:line="259" w:lineRule="auto"/>
        <w:jc w:val="both"/>
        <w:rPr>
          <w:b/>
          <w:sz w:val="25"/>
          <w:szCs w:val="25"/>
        </w:rPr>
      </w:pPr>
    </w:p>
    <w:sectPr w:rsidR="0025180B" w:rsidRPr="00622326" w:rsidSect="00220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6FCF" w14:textId="77777777" w:rsidR="00716861" w:rsidRDefault="00716861">
      <w:r>
        <w:separator/>
      </w:r>
    </w:p>
  </w:endnote>
  <w:endnote w:type="continuationSeparator" w:id="0">
    <w:p w14:paraId="0EFC18BD" w14:textId="77777777" w:rsidR="00716861" w:rsidRDefault="007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CA8A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1D56FF" w:rsidRDefault="003B58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56622012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F1A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5160" w14:textId="77777777" w:rsidR="00716861" w:rsidRDefault="00716861">
      <w:r>
        <w:separator/>
      </w:r>
    </w:p>
  </w:footnote>
  <w:footnote w:type="continuationSeparator" w:id="0">
    <w:p w14:paraId="0C86C32C" w14:textId="77777777" w:rsidR="00716861" w:rsidRDefault="007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70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4F36C3B7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0407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16E4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041A8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22326"/>
    <w:rsid w:val="0062466F"/>
    <w:rsid w:val="006433C9"/>
    <w:rsid w:val="0065073A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1CB1"/>
    <w:rsid w:val="0071686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20916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7B16"/>
    <w:rsid w:val="00B030F7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D67D8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54A26"/>
    <w:rsid w:val="00C6007C"/>
    <w:rsid w:val="00C604D1"/>
    <w:rsid w:val="00C61F29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16C0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56B01"/>
    <w:rsid w:val="00F63B35"/>
    <w:rsid w:val="00F90889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ederunacoma.wetransfer.com/downloads/dac638e37ae05bec6841b8c71715347020220112131208/a088eb07fd8d6b89c98a4566009b12eb20220112131208/d82f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Patrizia Menicucci</cp:lastModifiedBy>
  <cp:revision>2</cp:revision>
  <cp:lastPrinted>2019-04-02T08:55:00Z</cp:lastPrinted>
  <dcterms:created xsi:type="dcterms:W3CDTF">2022-03-02T08:40:00Z</dcterms:created>
  <dcterms:modified xsi:type="dcterms:W3CDTF">2022-03-02T08:40:00Z</dcterms:modified>
</cp:coreProperties>
</file>